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D0" w:rsidRDefault="000B4CD0" w:rsidP="000D3FC7"/>
    <w:p w:rsidR="000B4CD0" w:rsidRDefault="009C578D" w:rsidP="000D3FC7">
      <w:r w:rsidRPr="000B4C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EA2D" wp14:editId="6EFC9ED4">
                <wp:simplePos x="0" y="0"/>
                <wp:positionH relativeFrom="column">
                  <wp:posOffset>1323974</wp:posOffset>
                </wp:positionH>
                <wp:positionV relativeFrom="paragraph">
                  <wp:posOffset>-3810</wp:posOffset>
                </wp:positionV>
                <wp:extent cx="4391025" cy="790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D0" w:rsidRDefault="000B4CD0" w:rsidP="000B4C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0F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Mick’s participation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sensory farm</w:t>
                            </w:r>
                            <w:r w:rsidR="009C57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visits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78D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0B4CD0" w:rsidRPr="000B4CD0" w:rsidRDefault="009C57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benefits</w:t>
                            </w:r>
                            <w:r w:rsidR="000B4CD0" w:rsidRPr="00310F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costs avoided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-.3pt;width:34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" strokecolor="white [3212]">
                <v:textbox>
                  <w:txbxContent>
                    <w:p w:rsidR="000B4CD0" w:rsidRDefault="000B4CD0" w:rsidP="000B4C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0F08">
                        <w:rPr>
                          <w:b/>
                          <w:sz w:val="28"/>
                          <w:szCs w:val="28"/>
                        </w:rPr>
                        <w:t xml:space="preserve">Mick’s participation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sensory farm</w:t>
                      </w:r>
                      <w:r w:rsidR="009C578D">
                        <w:rPr>
                          <w:b/>
                          <w:sz w:val="28"/>
                          <w:szCs w:val="28"/>
                        </w:rPr>
                        <w:t xml:space="preserve"> visits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578D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0B4CD0" w:rsidRPr="000B4CD0" w:rsidRDefault="009C57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benefits</w:t>
                      </w:r>
                      <w:r w:rsidR="000B4CD0" w:rsidRPr="00310F08">
                        <w:rPr>
                          <w:b/>
                          <w:sz w:val="28"/>
                          <w:szCs w:val="28"/>
                        </w:rPr>
                        <w:t xml:space="preserve"> and costs avoided</w:t>
                      </w:r>
                    </w:p>
                  </w:txbxContent>
                </v:textbox>
              </v:shape>
            </w:pict>
          </mc:Fallback>
        </mc:AlternateContent>
      </w:r>
      <w:r w:rsidR="000B4CD0">
        <w:rPr>
          <w:noProof/>
          <w:lang w:eastAsia="en-GB"/>
        </w:rPr>
        <w:drawing>
          <wp:inline distT="0" distB="0" distL="0" distR="0" wp14:anchorId="2F19F44A" wp14:editId="11BD8FEE">
            <wp:extent cx="1370135" cy="10477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8D" w:rsidRDefault="009C578D" w:rsidP="000D3FC7"/>
    <w:p w:rsidR="007E3176" w:rsidRDefault="00EB3247" w:rsidP="000D3FC7">
      <w:r>
        <w:t xml:space="preserve">In September 2013 </w:t>
      </w:r>
      <w:r w:rsidR="000D3FC7" w:rsidRPr="000D3FC7">
        <w:t xml:space="preserve">Claire </w:t>
      </w:r>
      <w:r w:rsidR="0099474E">
        <w:t xml:space="preserve">Morris </w:t>
      </w:r>
      <w:r w:rsidR="000D3FC7" w:rsidRPr="000D3FC7">
        <w:t xml:space="preserve">and Debbie </w:t>
      </w:r>
      <w:r w:rsidR="0099474E">
        <w:t xml:space="preserve">Berrell </w:t>
      </w:r>
      <w:r w:rsidR="000D3FC7" w:rsidRPr="000D3FC7">
        <w:t xml:space="preserve">from College Farm, Long Crendon, </w:t>
      </w:r>
      <w:r>
        <w:t xml:space="preserve">delivered a series of </w:t>
      </w:r>
      <w:r w:rsidR="0099474E">
        <w:t xml:space="preserve">farm </w:t>
      </w:r>
      <w:r>
        <w:t>visits for a MIND</w:t>
      </w:r>
      <w:r w:rsidR="000D3FC7" w:rsidRPr="000D3FC7">
        <w:t xml:space="preserve"> support group. </w:t>
      </w:r>
    </w:p>
    <w:p w:rsidR="00EB3247" w:rsidRDefault="00EB3247" w:rsidP="000D3FC7">
      <w:r>
        <w:t xml:space="preserve">The group came out on sensory visits for three consecutive </w:t>
      </w:r>
      <w:r w:rsidR="008D63EF">
        <w:t>Fridays</w:t>
      </w:r>
      <w:r w:rsidR="0051269B">
        <w:t>,</w:t>
      </w:r>
      <w:r>
        <w:t xml:space="preserve"> </w:t>
      </w:r>
      <w:r w:rsidR="007F3F85">
        <w:t>with Claire making a</w:t>
      </w:r>
      <w:r w:rsidR="007E3176">
        <w:t xml:space="preserve"> further two visits to </w:t>
      </w:r>
      <w:r w:rsidR="0099474E">
        <w:t>meet</w:t>
      </w:r>
      <w:r w:rsidR="0051269B">
        <w:t xml:space="preserve"> the group in </w:t>
      </w:r>
      <w:r w:rsidR="007E3176">
        <w:t>a</w:t>
      </w:r>
      <w:r>
        <w:t xml:space="preserve"> community centre.</w:t>
      </w:r>
      <w:r w:rsidR="008D63EF">
        <w:t xml:space="preserve"> </w:t>
      </w:r>
      <w:r w:rsidR="000D3FC7" w:rsidRPr="000D3FC7">
        <w:t xml:space="preserve">Cooking farm produce was a big part of the </w:t>
      </w:r>
      <w:r w:rsidR="0051269B">
        <w:t xml:space="preserve">farm </w:t>
      </w:r>
      <w:r w:rsidR="000D3FC7" w:rsidRPr="000D3FC7">
        <w:t>visits</w:t>
      </w:r>
      <w:r>
        <w:t xml:space="preserve">. </w:t>
      </w:r>
    </w:p>
    <w:p w:rsidR="000C2881" w:rsidRDefault="000C2881" w:rsidP="000D3FC7">
      <w:r>
        <w:t xml:space="preserve">Before their first visit, and after their last visit, group members were </w:t>
      </w:r>
      <w:r w:rsidR="007E3176">
        <w:t xml:space="preserve">invited to use </w:t>
      </w:r>
      <w:r>
        <w:t>‘</w:t>
      </w:r>
      <w:r w:rsidR="007E3176">
        <w:t>widgit</w:t>
      </w:r>
      <w:r>
        <w:t>’ emotion symbols</w:t>
      </w:r>
      <w:r w:rsidR="007E3176">
        <w:t xml:space="preserve"> to record their feelings</w:t>
      </w:r>
      <w:r>
        <w:t xml:space="preserve">. </w:t>
      </w:r>
      <w:r w:rsidR="00493A78">
        <w:t xml:space="preserve"> </w:t>
      </w:r>
      <w:r>
        <w:t>Three gro</w:t>
      </w:r>
      <w:r w:rsidR="008D63EF">
        <w:t xml:space="preserve">up members were also asked to </w:t>
      </w:r>
      <w:r w:rsidR="0051269B">
        <w:t>discuss</w:t>
      </w:r>
      <w:r w:rsidR="008D63EF">
        <w:t xml:space="preserve"> how they felt as a result of their visits</w:t>
      </w:r>
      <w:r>
        <w:t>.</w:t>
      </w:r>
      <w:r w:rsidR="000B4CD0" w:rsidRPr="000B4CD0">
        <w:rPr>
          <w:noProof/>
          <w:lang w:eastAsia="en-GB"/>
        </w:rPr>
        <w:t xml:space="preserve"> </w:t>
      </w:r>
    </w:p>
    <w:p w:rsidR="000C2881" w:rsidRDefault="007E3176" w:rsidP="000D3FC7">
      <w:r>
        <w:t xml:space="preserve">The </w:t>
      </w:r>
      <w:r w:rsidR="0033376B">
        <w:t>New Economics F</w:t>
      </w:r>
      <w:r w:rsidR="000C2881">
        <w:t>oundation (</w:t>
      </w:r>
      <w:r w:rsidR="0099474E">
        <w:t>NEF</w:t>
      </w:r>
      <w:r w:rsidR="0033376B">
        <w:t xml:space="preserve"> C</w:t>
      </w:r>
      <w:r w:rsidR="0051269B">
        <w:t>onsulting</w:t>
      </w:r>
      <w:r w:rsidR="000C2881">
        <w:t xml:space="preserve">) have </w:t>
      </w:r>
      <w:r>
        <w:t>analysed</w:t>
      </w:r>
      <w:r w:rsidR="000C2881">
        <w:t xml:space="preserve"> material contributed from one of the visitors, Mick, and have </w:t>
      </w:r>
      <w:r w:rsidR="00262EA1">
        <w:t xml:space="preserve">evidenced the </w:t>
      </w:r>
      <w:r w:rsidR="001944D4">
        <w:t>economic implications</w:t>
      </w:r>
      <w:r w:rsidR="00262EA1">
        <w:t xml:space="preserve"> of his visits</w:t>
      </w:r>
      <w:r w:rsidR="001944D4">
        <w:t>, namely the</w:t>
      </w:r>
      <w:r w:rsidR="000C2881">
        <w:t xml:space="preserve"> benefits and avoided</w:t>
      </w:r>
      <w:r w:rsidR="001944D4">
        <w:t xml:space="preserve"> costs</w:t>
      </w:r>
      <w:r w:rsidR="000C2881">
        <w:t xml:space="preserve"> to the State. </w:t>
      </w:r>
    </w:p>
    <w:p w:rsidR="00D641B9" w:rsidRDefault="007E3176" w:rsidP="00D641B9">
      <w:r>
        <w:t>The</w:t>
      </w:r>
      <w:r w:rsidR="00D641B9">
        <w:t xml:space="preserve"> evidence from wellbeing data and a face to face interview with Mick</w:t>
      </w:r>
      <w:r>
        <w:t xml:space="preserve"> shows that</w:t>
      </w:r>
      <w:r w:rsidR="00D641B9">
        <w:t xml:space="preserve"> the following can be considered potential benefits and avoided costs to the State:</w:t>
      </w:r>
    </w:p>
    <w:p w:rsidR="00D641B9" w:rsidRDefault="00D641B9" w:rsidP="00D641B9">
      <w:pPr>
        <w:pStyle w:val="ListParagraph"/>
        <w:numPr>
          <w:ilvl w:val="0"/>
          <w:numId w:val="1"/>
        </w:numPr>
      </w:pPr>
      <w:r>
        <w:t>Avoided prescription costs</w:t>
      </w:r>
    </w:p>
    <w:p w:rsidR="00D641B9" w:rsidRDefault="00D641B9" w:rsidP="00D641B9">
      <w:pPr>
        <w:pStyle w:val="ListParagraph"/>
        <w:numPr>
          <w:ilvl w:val="0"/>
          <w:numId w:val="1"/>
        </w:numPr>
      </w:pPr>
      <w:r>
        <w:t>Avoided medical consultation costs</w:t>
      </w:r>
    </w:p>
    <w:p w:rsidR="00D641B9" w:rsidRDefault="00D641B9" w:rsidP="00D641B9">
      <w:pPr>
        <w:pStyle w:val="ListParagraph"/>
        <w:numPr>
          <w:ilvl w:val="0"/>
          <w:numId w:val="1"/>
        </w:numPr>
      </w:pPr>
      <w:r>
        <w:t>Avoided use of community psychiatric nurse services</w:t>
      </w:r>
    </w:p>
    <w:p w:rsidR="000D3FC7" w:rsidRDefault="00D641B9" w:rsidP="000D3FC7">
      <w:pPr>
        <w:pStyle w:val="ListParagraph"/>
        <w:numPr>
          <w:ilvl w:val="0"/>
          <w:numId w:val="1"/>
        </w:numPr>
      </w:pPr>
      <w:r>
        <w:t>A</w:t>
      </w:r>
      <w:r w:rsidRPr="0035497A">
        <w:t>voided costs</w:t>
      </w:r>
      <w:r>
        <w:t xml:space="preserve"> to the NHS</w:t>
      </w:r>
      <w:r w:rsidRPr="0035497A">
        <w:t xml:space="preserve"> of physical inactivity</w:t>
      </w:r>
      <w:r>
        <w:t xml:space="preserve"> </w:t>
      </w:r>
    </w:p>
    <w:p w:rsidR="00D641B9" w:rsidRDefault="00D641B9" w:rsidP="00D641B9">
      <w:pPr>
        <w:pStyle w:val="ListParagraph"/>
      </w:pPr>
    </w:p>
    <w:p w:rsidR="00D641B9" w:rsidRPr="000D3FC7" w:rsidRDefault="00D641B9" w:rsidP="00D641B9">
      <w:pPr>
        <w:pStyle w:val="ListParagraph"/>
      </w:pPr>
    </w:p>
    <w:p w:rsidR="000D3FC7" w:rsidRDefault="002835FF">
      <w:pPr>
        <w:rPr>
          <w:b/>
          <w:u w:val="single"/>
        </w:rPr>
      </w:pPr>
      <w:r w:rsidRPr="000C2881">
        <w:rPr>
          <w:b/>
          <w:noProof/>
          <w:lang w:eastAsia="en-GB"/>
        </w:rPr>
        <w:drawing>
          <wp:inline distT="0" distB="0" distL="0" distR="0" wp14:anchorId="74A843C8" wp14:editId="763D3435">
            <wp:extent cx="4486275" cy="33786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1"/>
                    <a:stretch/>
                  </pic:blipFill>
                  <pic:spPr bwMode="auto">
                    <a:xfrm>
                      <a:off x="0" y="0"/>
                      <a:ext cx="4504090" cy="339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97A" w:rsidRDefault="008D63EF" w:rsidP="0035497A">
      <w:pPr>
        <w:rPr>
          <w:b/>
        </w:rPr>
      </w:pPr>
      <w:r>
        <w:rPr>
          <w:b/>
        </w:rPr>
        <w:lastRenderedPageBreak/>
        <w:t>Evidence of i</w:t>
      </w:r>
      <w:r w:rsidR="004A7CE1">
        <w:rPr>
          <w:b/>
        </w:rPr>
        <w:t xml:space="preserve">mprovement in subjective wellbeing </w:t>
      </w:r>
    </w:p>
    <w:p w:rsidR="004A7CE1" w:rsidRDefault="007E3176" w:rsidP="0035497A">
      <w:r>
        <w:t>Mick</w:t>
      </w:r>
      <w:r w:rsidR="008D63EF">
        <w:t xml:space="preserve"> stated</w:t>
      </w:r>
      <w:r w:rsidR="00184CB0">
        <w:t xml:space="preserve"> tha</w:t>
      </w:r>
      <w:r>
        <w:t xml:space="preserve">t the </w:t>
      </w:r>
      <w:r w:rsidR="002E7342">
        <w:t xml:space="preserve">farm visits </w:t>
      </w:r>
      <w:r>
        <w:t>had made him</w:t>
      </w:r>
      <w:r w:rsidR="00184CB0">
        <w:t xml:space="preserve"> feel “more relaxed”</w:t>
      </w:r>
      <w:r w:rsidR="0099474E">
        <w:t>,</w:t>
      </w:r>
      <w:r w:rsidR="00184CB0">
        <w:t xml:space="preserve"> </w:t>
      </w:r>
      <w:r w:rsidR="008D63EF">
        <w:t xml:space="preserve">that he had </w:t>
      </w:r>
      <w:r w:rsidR="00184CB0">
        <w:t>found the experience therapeutic</w:t>
      </w:r>
      <w:r w:rsidR="00D11385">
        <w:t xml:space="preserve"> and felt that</w:t>
      </w:r>
      <w:r w:rsidR="00184CB0">
        <w:t xml:space="preserve"> </w:t>
      </w:r>
      <w:r>
        <w:t>being outside had also made him</w:t>
      </w:r>
      <w:r w:rsidR="00D11385">
        <w:t xml:space="preserve"> feel better. </w:t>
      </w:r>
      <w:r w:rsidR="008D63EF">
        <w:t xml:space="preserve"> </w:t>
      </w:r>
      <w:r w:rsidR="00D11385">
        <w:t>Over the longer term, the support group</w:t>
      </w:r>
      <w:r w:rsidR="00C02ED0">
        <w:t xml:space="preserve"> </w:t>
      </w:r>
      <w:r w:rsidR="00D11385">
        <w:t xml:space="preserve">gave </w:t>
      </w:r>
      <w:r>
        <w:t>Mick</w:t>
      </w:r>
      <w:r w:rsidR="00C02ED0">
        <w:t xml:space="preserve"> something to look forward to</w:t>
      </w:r>
      <w:r w:rsidR="004E798B">
        <w:t xml:space="preserve"> </w:t>
      </w:r>
      <w:r w:rsidR="00F36222">
        <w:t xml:space="preserve">and </w:t>
      </w:r>
      <w:r w:rsidR="008D63EF">
        <w:t xml:space="preserve">helped </w:t>
      </w:r>
      <w:r w:rsidR="00EC6653">
        <w:t>to</w:t>
      </w:r>
      <w:r w:rsidR="008D63EF">
        <w:t xml:space="preserve"> avoid</w:t>
      </w:r>
      <w:r w:rsidR="00F36222">
        <w:t xml:space="preserve"> </w:t>
      </w:r>
      <w:r>
        <w:t>his</w:t>
      </w:r>
      <w:r w:rsidR="004E798B">
        <w:t xml:space="preserve"> mood “darken down”</w:t>
      </w:r>
      <w:r>
        <w:t xml:space="preserve">. </w:t>
      </w:r>
      <w:r w:rsidR="008D63EF">
        <w:t xml:space="preserve"> </w:t>
      </w:r>
      <w:r>
        <w:t>Mick</w:t>
      </w:r>
      <w:r w:rsidR="00C02ED0">
        <w:t xml:space="preserve"> reported low elements of wellbeing before the visit</w:t>
      </w:r>
      <w:r w:rsidR="007F3F85">
        <w:t>s</w:t>
      </w:r>
      <w:r w:rsidR="00C02ED0">
        <w:t>, feeling angry, depressed, lone</w:t>
      </w:r>
      <w:r>
        <w:t xml:space="preserve">ly and tired. </w:t>
      </w:r>
      <w:r w:rsidR="00493A78">
        <w:t xml:space="preserve"> </w:t>
      </w:r>
      <w:r>
        <w:t>After the visit</w:t>
      </w:r>
      <w:r w:rsidR="007F3F85">
        <w:t>s</w:t>
      </w:r>
      <w:r>
        <w:t xml:space="preserve"> Mick</w:t>
      </w:r>
      <w:r w:rsidR="00C02ED0">
        <w:t xml:space="preserve"> reported significantly </w:t>
      </w:r>
      <w:r w:rsidR="00493A78">
        <w:t>improved wellbeing outcomes, fee</w:t>
      </w:r>
      <w:r w:rsidR="00C02ED0">
        <w:t>ling ca</w:t>
      </w:r>
      <w:r>
        <w:t>l</w:t>
      </w:r>
      <w:r w:rsidR="00C02ED0">
        <w:t>m, happy, inspired and motivated.</w:t>
      </w:r>
    </w:p>
    <w:p w:rsidR="00E27975" w:rsidRDefault="00687741" w:rsidP="0035497A">
      <w:r>
        <w:t xml:space="preserve">Research from The </w:t>
      </w:r>
      <w:r w:rsidR="00C02ED0">
        <w:t xml:space="preserve">New Economics Foundation highlights the </w:t>
      </w:r>
      <w:r w:rsidR="00AA1FC2" w:rsidRPr="00AA1FC2">
        <w:t>strong relationship between subjective wellbeing and psychological health and notes that many of the measurement approaches for both are overlapping</w:t>
      </w:r>
      <w:r w:rsidR="00C02ED0">
        <w:rPr>
          <w:rStyle w:val="FootnoteReference"/>
        </w:rPr>
        <w:footnoteReference w:id="1"/>
      </w:r>
      <w:r w:rsidR="00C02ED0">
        <w:t>.</w:t>
      </w:r>
      <w:r w:rsidR="008D63EF">
        <w:t xml:space="preserve"> </w:t>
      </w:r>
      <w:r w:rsidR="00493A78">
        <w:t xml:space="preserve"> </w:t>
      </w:r>
      <w:r w:rsidR="00E27975">
        <w:t>In addition, frameworks for wellbeing (such as those used by The New Economics Foundation in the “National Accounts of Well-being”</w:t>
      </w:r>
      <w:r w:rsidR="00E27975">
        <w:rPr>
          <w:rStyle w:val="FootnoteReference"/>
        </w:rPr>
        <w:footnoteReference w:id="2"/>
      </w:r>
      <w:r w:rsidR="00E27975">
        <w:t xml:space="preserve">) </w:t>
      </w:r>
      <w:r w:rsidR="00B928AD">
        <w:t>show</w:t>
      </w:r>
      <w:r>
        <w:t xml:space="preserve"> </w:t>
      </w:r>
      <w:r w:rsidR="00E27975">
        <w:t xml:space="preserve">self-esteem, optimism, resilience and positive feelings </w:t>
      </w:r>
      <w:r w:rsidR="00B928AD">
        <w:t>to be</w:t>
      </w:r>
      <w:r w:rsidR="00E27975">
        <w:t xml:space="preserve"> key components of personal wellbeing.</w:t>
      </w:r>
      <w:r w:rsidR="00493A78">
        <w:t xml:space="preserve"> </w:t>
      </w:r>
      <w:r w:rsidR="00E27975">
        <w:t xml:space="preserve"> </w:t>
      </w:r>
      <w:r>
        <w:t xml:space="preserve">Data collected via the </w:t>
      </w:r>
      <w:r w:rsidR="00493A78">
        <w:t>‘widgi</w:t>
      </w:r>
      <w:r>
        <w:t>t’ emoticon symbols</w:t>
      </w:r>
      <w:r w:rsidR="00B928AD">
        <w:t xml:space="preserve"> clearly</w:t>
      </w:r>
      <w:r w:rsidR="004A7CE1">
        <w:t xml:space="preserve"> </w:t>
      </w:r>
      <w:r w:rsidR="00B928AD">
        <w:t>address these elements of personal wellbeing</w:t>
      </w:r>
      <w:r>
        <w:t xml:space="preserve"> </w:t>
      </w:r>
      <w:r w:rsidR="00B928AD">
        <w:t>and</w:t>
      </w:r>
      <w:r w:rsidR="00493A78">
        <w:t xml:space="preserve"> therefore provide</w:t>
      </w:r>
      <w:r w:rsidR="004A7CE1">
        <w:t xml:space="preserve"> an excellent indication </w:t>
      </w:r>
      <w:r w:rsidR="00B928AD">
        <w:t xml:space="preserve">of </w:t>
      </w:r>
      <w:r w:rsidR="004A7CE1">
        <w:t xml:space="preserve">improvements in </w:t>
      </w:r>
      <w:r w:rsidR="00B928AD">
        <w:t>personal</w:t>
      </w:r>
      <w:r w:rsidR="004A7CE1">
        <w:t xml:space="preserve"> wellbeing.</w:t>
      </w:r>
      <w:r w:rsidR="00B928AD">
        <w:t xml:space="preserve"> </w:t>
      </w:r>
      <w:r w:rsidR="00493A78">
        <w:t xml:space="preserve"> </w:t>
      </w:r>
      <w:r w:rsidR="00B928AD">
        <w:t xml:space="preserve">By extension, clear improvements in these indicators </w:t>
      </w:r>
      <w:r w:rsidR="00631338">
        <w:t>are a</w:t>
      </w:r>
      <w:r w:rsidR="00F13641">
        <w:t>lso a</w:t>
      </w:r>
      <w:r w:rsidR="00631338">
        <w:t xml:space="preserve"> good barometer</w:t>
      </w:r>
      <w:r w:rsidR="00B928AD">
        <w:t xml:space="preserve"> </w:t>
      </w:r>
      <w:r w:rsidR="00631338">
        <w:t>for</w:t>
      </w:r>
      <w:r w:rsidR="00B928AD">
        <w:t xml:space="preserve"> improvements in psychological health.   </w:t>
      </w:r>
      <w:r w:rsidR="004A7CE1">
        <w:t xml:space="preserve"> </w:t>
      </w:r>
    </w:p>
    <w:p w:rsidR="004A7CE1" w:rsidRPr="004A7CE1" w:rsidRDefault="004A7CE1" w:rsidP="0035497A">
      <w:pPr>
        <w:rPr>
          <w:b/>
        </w:rPr>
      </w:pPr>
      <w:r w:rsidRPr="004A7CE1">
        <w:rPr>
          <w:b/>
        </w:rPr>
        <w:t>Outcomes associated with improvements in subjective wellbeing</w:t>
      </w:r>
    </w:p>
    <w:p w:rsidR="004A7CE1" w:rsidRPr="004A7CE1" w:rsidRDefault="004A7CE1" w:rsidP="0035497A">
      <w:pPr>
        <w:rPr>
          <w:i/>
        </w:rPr>
      </w:pPr>
      <w:r>
        <w:rPr>
          <w:i/>
        </w:rPr>
        <w:t>Avoided medical consultation costs</w:t>
      </w:r>
    </w:p>
    <w:p w:rsidR="00E27975" w:rsidRDefault="00E27975" w:rsidP="0035497A">
      <w:r>
        <w:t>Given the strong relationship between subjective wellbeing and physiological health</w:t>
      </w:r>
      <w:r w:rsidR="004A7CE1">
        <w:t xml:space="preserve"> and the clear self-reported improvements in wellbeing </w:t>
      </w:r>
      <w:r w:rsidR="008D59ED">
        <w:t>following</w:t>
      </w:r>
      <w:r w:rsidR="008D63EF">
        <w:t xml:space="preserve"> Mick</w:t>
      </w:r>
      <w:r w:rsidR="004A7CE1">
        <w:t xml:space="preserve">’s involvement in the </w:t>
      </w:r>
      <w:r w:rsidR="00FF53FB">
        <w:t>farm visits</w:t>
      </w:r>
      <w:r>
        <w:t>, it</w:t>
      </w:r>
      <w:r w:rsidR="008D63EF">
        <w:t xml:space="preserve"> is assume</w:t>
      </w:r>
      <w:r w:rsidR="00FE5634">
        <w:t>d</w:t>
      </w:r>
      <w:r w:rsidR="008D63EF">
        <w:t xml:space="preserve"> that Mick</w:t>
      </w:r>
      <w:r>
        <w:t xml:space="preserve"> would have been </w:t>
      </w:r>
      <w:r w:rsidR="00BC3DBC">
        <w:t>better</w:t>
      </w:r>
      <w:r>
        <w:t xml:space="preserve"> able to deal with</w:t>
      </w:r>
      <w:r w:rsidR="00FF53FB">
        <w:t xml:space="preserve"> his</w:t>
      </w:r>
      <w:r>
        <w:t xml:space="preserve"> depression</w:t>
      </w:r>
      <w:r w:rsidR="004A7CE1">
        <w:t xml:space="preserve"> and consequently require</w:t>
      </w:r>
      <w:r w:rsidR="00FF53FB">
        <w:t>d</w:t>
      </w:r>
      <w:r w:rsidR="004A7CE1">
        <w:t xml:space="preserve"> </w:t>
      </w:r>
      <w:r w:rsidR="004A7CE1" w:rsidRPr="00BC3DBC">
        <w:rPr>
          <w:b/>
        </w:rPr>
        <w:t>fewer GP consultations</w:t>
      </w:r>
      <w:r w:rsidR="004A7CE1">
        <w:t xml:space="preserve">.   </w:t>
      </w:r>
      <w:r>
        <w:t xml:space="preserve">  </w:t>
      </w:r>
    </w:p>
    <w:p w:rsidR="00385797" w:rsidRDefault="00385797" w:rsidP="00385797">
      <w:r w:rsidRPr="0035497A">
        <w:t>Figures from London School of Economics (LSE) Mental Health Policy Group</w:t>
      </w:r>
      <w:r>
        <w:t xml:space="preserve"> provide an estimate of</w:t>
      </w:r>
      <w:r w:rsidRPr="00184CB0">
        <w:t xml:space="preserve"> the average cost to the NHS of </w:t>
      </w:r>
      <w:r w:rsidRPr="00385797">
        <w:t>GP consultations for depression, anxiety, schizophrenia or bipolar disorders</w:t>
      </w:r>
      <w:r>
        <w:t xml:space="preserve"> (£1.9 billion per year)</w:t>
      </w:r>
      <w:r>
        <w:rPr>
          <w:rStyle w:val="FootnoteReference"/>
        </w:rPr>
        <w:footnoteReference w:id="3"/>
      </w:r>
      <w:r w:rsidRPr="00184CB0">
        <w:t>.</w:t>
      </w:r>
      <w:r w:rsidR="00B12F01">
        <w:t xml:space="preserve"> </w:t>
      </w:r>
      <w:r w:rsidR="00493A78">
        <w:t xml:space="preserve"> </w:t>
      </w:r>
      <w:r w:rsidR="008D59ED">
        <w:t xml:space="preserve">When taking into account the numbers suffering from these conditions and the proportion receiving treatment, this is equivalent to £765.32 per person accessing these services per year. </w:t>
      </w:r>
      <w:r w:rsidR="00493A78">
        <w:t xml:space="preserve"> </w:t>
      </w:r>
      <w:r w:rsidR="00327098">
        <w:t>This estimate is appropriate for two</w:t>
      </w:r>
      <w:r w:rsidR="00332159">
        <w:t xml:space="preserve"> </w:t>
      </w:r>
      <w:r w:rsidR="00327098">
        <w:t>reasons.</w:t>
      </w:r>
      <w:r w:rsidR="00493A78">
        <w:t xml:space="preserve"> </w:t>
      </w:r>
      <w:r w:rsidR="00327098">
        <w:t xml:space="preserve"> Firstly, as an average estimation, </w:t>
      </w:r>
      <w:r w:rsidR="00332159">
        <w:t>assumptions</w:t>
      </w:r>
      <w:r w:rsidR="00327098">
        <w:t xml:space="preserve"> about </w:t>
      </w:r>
      <w:r w:rsidR="00332159">
        <w:t>the frequency and type of service use (and associated costs of these services) before and after the intervention are avoided.</w:t>
      </w:r>
      <w:r w:rsidR="00493A78">
        <w:t xml:space="preserve"> </w:t>
      </w:r>
      <w:r w:rsidR="00332159">
        <w:t xml:space="preserve"> Secondly, it is likely to be a conservative estimation. </w:t>
      </w:r>
      <w:r w:rsidR="00493A78">
        <w:t xml:space="preserve"> </w:t>
      </w:r>
      <w:r w:rsidR="00332159">
        <w:t xml:space="preserve">Although Mick’s use of community psychiatric nurse services is accounted for separately, it is likely that Mick </w:t>
      </w:r>
      <w:r w:rsidR="003F1CAE">
        <w:t>may</w:t>
      </w:r>
      <w:r w:rsidR="00332159">
        <w:t xml:space="preserve"> have used other</w:t>
      </w:r>
      <w:r w:rsidR="003F1CAE">
        <w:t xml:space="preserve"> consultation</w:t>
      </w:r>
      <w:r w:rsidR="00332159">
        <w:t xml:space="preserve"> services</w:t>
      </w:r>
      <w:r w:rsidR="003F1CAE">
        <w:t xml:space="preserve"> as well.  </w:t>
      </w:r>
      <w:r w:rsidR="00332159">
        <w:t xml:space="preserve">    </w:t>
      </w:r>
      <w:r w:rsidR="008D59ED">
        <w:t xml:space="preserve"> </w:t>
      </w:r>
    </w:p>
    <w:p w:rsidR="009B2347" w:rsidRDefault="009B2347" w:rsidP="009B2347">
      <w:pPr>
        <w:rPr>
          <w:i/>
        </w:rPr>
      </w:pPr>
      <w:r>
        <w:rPr>
          <w:i/>
        </w:rPr>
        <w:t>Avoided prescription costs</w:t>
      </w:r>
    </w:p>
    <w:p w:rsidR="00BC3DBC" w:rsidRDefault="00BC3DBC" w:rsidP="00BC3DBC">
      <w:r>
        <w:t xml:space="preserve">Given the strong relationship between subjective wellbeing and </w:t>
      </w:r>
      <w:r w:rsidR="005C4187">
        <w:t>psychological</w:t>
      </w:r>
      <w:r>
        <w:t xml:space="preserve"> health and the clear self-reported improvements in</w:t>
      </w:r>
      <w:r w:rsidR="00EB59F2">
        <w:t xml:space="preserve"> </w:t>
      </w:r>
      <w:r>
        <w:t xml:space="preserve">wellbeing following </w:t>
      </w:r>
      <w:r w:rsidR="00FF53FB">
        <w:t>his</w:t>
      </w:r>
      <w:r>
        <w:t xml:space="preserve"> involvement in the MIND support group</w:t>
      </w:r>
      <w:r w:rsidR="00FF53FB">
        <w:t>’s farm visits</w:t>
      </w:r>
      <w:r>
        <w:t>, it</w:t>
      </w:r>
      <w:r w:rsidR="00FF53FB">
        <w:t xml:space="preserve"> is assume</w:t>
      </w:r>
      <w:r w:rsidR="00990420">
        <w:t>d</w:t>
      </w:r>
      <w:r w:rsidR="00FF53FB">
        <w:t xml:space="preserve"> that Mick</w:t>
      </w:r>
      <w:r>
        <w:t xml:space="preserve"> would have require</w:t>
      </w:r>
      <w:r w:rsidR="00990420">
        <w:t>d</w:t>
      </w:r>
      <w:r>
        <w:t xml:space="preserve"> </w:t>
      </w:r>
      <w:r w:rsidRPr="00BC3DBC">
        <w:rPr>
          <w:b/>
        </w:rPr>
        <w:t>fewer medical prescriptions and therapies</w:t>
      </w:r>
      <w:r>
        <w:t xml:space="preserve">.      </w:t>
      </w:r>
    </w:p>
    <w:p w:rsidR="0078130C" w:rsidRDefault="0078130C" w:rsidP="0078130C">
      <w:r w:rsidRPr="0035497A">
        <w:t>Figures from London School of Economics (LSE) Mental Health Policy Group</w:t>
      </w:r>
      <w:r w:rsidR="00990420">
        <w:t xml:space="preserve"> also</w:t>
      </w:r>
      <w:r>
        <w:t xml:space="preserve"> provide an estimate of</w:t>
      </w:r>
      <w:r w:rsidRPr="00184CB0">
        <w:t xml:space="preserve"> the average cost to the NHS of </w:t>
      </w:r>
      <w:r w:rsidRPr="0078130C">
        <w:t xml:space="preserve">prescriptions and therapies for depression, </w:t>
      </w:r>
      <w:r w:rsidRPr="0078130C">
        <w:lastRenderedPageBreak/>
        <w:t xml:space="preserve">anxiety, schizophrenia or bipolar disorders </w:t>
      </w:r>
      <w:r>
        <w:t>(£1.2 billion per year)</w:t>
      </w:r>
      <w:r w:rsidRPr="00184CB0">
        <w:t>.</w:t>
      </w:r>
      <w:r>
        <w:t xml:space="preserve"> </w:t>
      </w:r>
      <w:r w:rsidR="00493A78">
        <w:t xml:space="preserve"> </w:t>
      </w:r>
      <w:r>
        <w:t>When taking into account the numbers suffering from these conditions and the proportion receiving treatment, this is equivalent to £</w:t>
      </w:r>
      <w:r w:rsidR="008C1475">
        <w:t>483.36</w:t>
      </w:r>
      <w:r>
        <w:t xml:space="preserve"> per person accessing these services per year. </w:t>
      </w:r>
      <w:r w:rsidR="00493A78">
        <w:t xml:space="preserve"> </w:t>
      </w:r>
      <w:r w:rsidR="003F1CAE">
        <w:t>As for avoided prescription costs, this estimate is appropriate similar reasons.</w:t>
      </w:r>
      <w:r w:rsidR="00493A78">
        <w:t xml:space="preserve"> </w:t>
      </w:r>
      <w:r w:rsidR="003F1CAE">
        <w:t xml:space="preserve"> As an average estimation, assumptions about the frequency and type of service use before and after the intervention are avoided. </w:t>
      </w:r>
      <w:r w:rsidR="00493A78">
        <w:t xml:space="preserve"> </w:t>
      </w:r>
      <w:r w:rsidR="003F1CAE">
        <w:t>It is</w:t>
      </w:r>
      <w:r w:rsidR="001D405E">
        <w:t xml:space="preserve"> also</w:t>
      </w:r>
      <w:r w:rsidR="003F1CAE">
        <w:t xml:space="preserve"> likely to be a conservative estimation</w:t>
      </w:r>
      <w:r w:rsidR="001D405E">
        <w:t xml:space="preserve">, potentially </w:t>
      </w:r>
      <w:r w:rsidR="004F75A2">
        <w:t>underestimating or excluding some</w:t>
      </w:r>
      <w:r w:rsidR="001D405E">
        <w:t xml:space="preserve"> avoided service use</w:t>
      </w:r>
      <w:r w:rsidR="003F1CAE">
        <w:t xml:space="preserve">.       </w:t>
      </w:r>
      <w:r>
        <w:t xml:space="preserve"> </w:t>
      </w:r>
    </w:p>
    <w:p w:rsidR="00385797" w:rsidRDefault="00F36222" w:rsidP="0035497A">
      <w:pPr>
        <w:rPr>
          <w:i/>
        </w:rPr>
      </w:pPr>
      <w:r>
        <w:rPr>
          <w:i/>
        </w:rPr>
        <w:t xml:space="preserve">Avoided use of community psychiatric nurse services (CPNs) </w:t>
      </w:r>
    </w:p>
    <w:p w:rsidR="00F36222" w:rsidRDefault="00B12F01" w:rsidP="0035497A">
      <w:r>
        <w:t>Mick</w:t>
      </w:r>
      <w:r w:rsidR="00BE5AE4">
        <w:t xml:space="preserve"> </w:t>
      </w:r>
      <w:r>
        <w:t>reported</w:t>
      </w:r>
      <w:r w:rsidR="00EB59F2">
        <w:t xml:space="preserve"> being supported by</w:t>
      </w:r>
      <w:r w:rsidR="00F36222">
        <w:t xml:space="preserve"> CPNs</w:t>
      </w:r>
      <w:r w:rsidR="00EB59F2">
        <w:t>, many of which</w:t>
      </w:r>
      <w:r w:rsidR="00493A78">
        <w:t xml:space="preserve"> </w:t>
      </w:r>
      <w:r w:rsidR="00C750AA">
        <w:t>he felt</w:t>
      </w:r>
      <w:r w:rsidR="00EB59F2">
        <w:t xml:space="preserve"> “haven’t helped at all”. </w:t>
      </w:r>
      <w:r w:rsidR="00493A78">
        <w:t xml:space="preserve"> </w:t>
      </w:r>
      <w:r w:rsidR="00EB59F2">
        <w:t xml:space="preserve">It is assumed that clear self-reported improvements in wellbeing, and therefore the likelihood that </w:t>
      </w:r>
      <w:r>
        <w:t>he</w:t>
      </w:r>
      <w:r w:rsidR="00EB59F2">
        <w:t xml:space="preserve"> would be more able to deal with</w:t>
      </w:r>
      <w:r>
        <w:t xml:space="preserve"> his</w:t>
      </w:r>
      <w:r w:rsidR="00EB59F2">
        <w:t xml:space="preserve"> depression independently, would result in reduced interaction with CPNs (or prevent increased CPN us</w:t>
      </w:r>
      <w:r>
        <w:t>e that may have happened</w:t>
      </w:r>
      <w:r w:rsidR="00C750AA">
        <w:t xml:space="preserve"> in the absence of the farm visits</w:t>
      </w:r>
      <w:r w:rsidR="00EB59F2">
        <w:t xml:space="preserve">).     </w:t>
      </w:r>
      <w:r w:rsidR="00F36222">
        <w:t xml:space="preserve"> </w:t>
      </w:r>
    </w:p>
    <w:p w:rsidR="00F36222" w:rsidRPr="00F36222" w:rsidRDefault="00F36222" w:rsidP="0035497A">
      <w:r w:rsidRPr="00F36222">
        <w:t>The Personal</w:t>
      </w:r>
      <w:r w:rsidR="00E010AD">
        <w:t xml:space="preserve"> </w:t>
      </w:r>
      <w:r w:rsidRPr="00F36222">
        <w:t>Social Sciences Research Unit (PSSRU) report collates unit costs of health services.</w:t>
      </w:r>
      <w:r w:rsidR="00493A78">
        <w:t xml:space="preserve"> </w:t>
      </w:r>
      <w:r w:rsidRPr="00F36222">
        <w:t xml:space="preserve"> The estimated cost to the NHS of CPN services is £67 per hour</w:t>
      </w:r>
      <w:r w:rsidR="00E010AD">
        <w:rPr>
          <w:rStyle w:val="FootnoteReference"/>
        </w:rPr>
        <w:footnoteReference w:id="4"/>
      </w:r>
      <w:r w:rsidRPr="00F36222">
        <w:t xml:space="preserve">. </w:t>
      </w:r>
      <w:r w:rsidR="00B12F01">
        <w:t xml:space="preserve"> </w:t>
      </w:r>
      <w:r w:rsidR="00731D2C">
        <w:t>It is</w:t>
      </w:r>
      <w:r w:rsidR="00731D2C" w:rsidRPr="00F36222">
        <w:t xml:space="preserve"> conservatively</w:t>
      </w:r>
      <w:r w:rsidRPr="00F36222">
        <w:t xml:space="preserve"> assume</w:t>
      </w:r>
      <w:r w:rsidR="00731D2C">
        <w:t>d</w:t>
      </w:r>
      <w:r w:rsidRPr="00F36222">
        <w:t xml:space="preserve"> </w:t>
      </w:r>
      <w:r w:rsidR="00B12F01">
        <w:t>that Mick</w:t>
      </w:r>
      <w:r w:rsidR="006E7CCF">
        <w:t xml:space="preserve"> would have received a</w:t>
      </w:r>
      <w:r w:rsidRPr="00F36222">
        <w:t xml:space="preserve"> </w:t>
      </w:r>
      <w:r w:rsidR="00B12F01" w:rsidRPr="00F36222">
        <w:t>fortnightly</w:t>
      </w:r>
      <w:r w:rsidRPr="00F36222">
        <w:t xml:space="preserve"> visit of one hour by a CPN, giving a total co</w:t>
      </w:r>
      <w:r w:rsidR="006E7CCF">
        <w:t>s</w:t>
      </w:r>
      <w:r w:rsidRPr="00F36222">
        <w:t>t to the NHS of £1,742 per year.</w:t>
      </w:r>
      <w:r w:rsidR="006E7CCF">
        <w:t xml:space="preserve"> </w:t>
      </w:r>
    </w:p>
    <w:p w:rsidR="00391431" w:rsidRDefault="00FF53FB" w:rsidP="00391431">
      <w:pPr>
        <w:rPr>
          <w:b/>
        </w:rPr>
      </w:pPr>
      <w:r>
        <w:rPr>
          <w:b/>
        </w:rPr>
        <w:t>Evidence of i</w:t>
      </w:r>
      <w:r w:rsidR="00391431">
        <w:rPr>
          <w:b/>
        </w:rPr>
        <w:t xml:space="preserve">mprovement in physical health </w:t>
      </w:r>
    </w:p>
    <w:p w:rsidR="00AA4F5C" w:rsidRDefault="00391431" w:rsidP="00A177CA">
      <w:r w:rsidRPr="00391431">
        <w:t xml:space="preserve">There is some </w:t>
      </w:r>
      <w:r w:rsidR="0085714E">
        <w:t>evidence to suggest that Mick</w:t>
      </w:r>
      <w:r>
        <w:t xml:space="preserve"> will have seen a small improvement in physical health.</w:t>
      </w:r>
      <w:r w:rsidR="008D28D7">
        <w:t xml:space="preserve"> </w:t>
      </w:r>
      <w:r>
        <w:t xml:space="preserve"> </w:t>
      </w:r>
      <w:r w:rsidR="0085714E">
        <w:t>His</w:t>
      </w:r>
      <w:r>
        <w:t xml:space="preserve"> involvement in the Friday farm visits provide</w:t>
      </w:r>
      <w:r w:rsidR="0085714E">
        <w:t>s</w:t>
      </w:r>
      <w:r>
        <w:t xml:space="preserve"> regular exercise (walking and </w:t>
      </w:r>
      <w:r w:rsidR="0085714E">
        <w:t>outdoor activities), as does his</w:t>
      </w:r>
      <w:r>
        <w:t xml:space="preserve"> involvement in other similar groups on Thursdays and Saturdays. </w:t>
      </w:r>
      <w:r w:rsidR="0085714E">
        <w:t xml:space="preserve"> </w:t>
      </w:r>
      <w:r>
        <w:t>It is likely that the</w:t>
      </w:r>
      <w:r w:rsidR="00C977CD">
        <w:t xml:space="preserve"> farm visits</w:t>
      </w:r>
      <w:r>
        <w:t xml:space="preserve"> </w:t>
      </w:r>
      <w:r w:rsidR="00C977CD">
        <w:t xml:space="preserve">(and indeed the </w:t>
      </w:r>
      <w:r>
        <w:t xml:space="preserve">MIND </w:t>
      </w:r>
      <w:r w:rsidR="00AA4F5C">
        <w:t>support</w:t>
      </w:r>
      <w:r>
        <w:t xml:space="preserve"> group</w:t>
      </w:r>
      <w:r w:rsidR="00C977CD">
        <w:t xml:space="preserve"> as a whole)</w:t>
      </w:r>
      <w:r>
        <w:t xml:space="preserve"> play a part in </w:t>
      </w:r>
      <w:r w:rsidR="00AA4F5C">
        <w:t xml:space="preserve">maintaining and encouraging a healthy lifestyle through regular exercise. </w:t>
      </w:r>
    </w:p>
    <w:p w:rsidR="00A177CA" w:rsidRPr="004A7CE1" w:rsidRDefault="00A177CA" w:rsidP="00A177CA">
      <w:pPr>
        <w:rPr>
          <w:b/>
        </w:rPr>
      </w:pPr>
      <w:r w:rsidRPr="004A7CE1">
        <w:rPr>
          <w:b/>
        </w:rPr>
        <w:t xml:space="preserve">Outcomes associated with improvements in </w:t>
      </w:r>
      <w:r>
        <w:rPr>
          <w:b/>
        </w:rPr>
        <w:t>physical health</w:t>
      </w:r>
    </w:p>
    <w:p w:rsidR="00385797" w:rsidRDefault="00650A92" w:rsidP="0035497A">
      <w:pPr>
        <w:rPr>
          <w:i/>
        </w:rPr>
      </w:pPr>
      <w:r>
        <w:rPr>
          <w:i/>
        </w:rPr>
        <w:t>Avoided costs of physical inactivity</w:t>
      </w:r>
    </w:p>
    <w:p w:rsidR="00881C9C" w:rsidRDefault="008E2FD3" w:rsidP="0035497A">
      <w:r>
        <w:t>We assume tha</w:t>
      </w:r>
      <w:r w:rsidR="0085714E">
        <w:t xml:space="preserve">t the </w:t>
      </w:r>
      <w:r w:rsidR="006B0CF2">
        <w:t>farm visits</w:t>
      </w:r>
      <w:r w:rsidR="0085714E">
        <w:t xml:space="preserve"> help Mick</w:t>
      </w:r>
      <w:r>
        <w:t xml:space="preserve"> maintain a healthy lifestyle. </w:t>
      </w:r>
    </w:p>
    <w:p w:rsidR="00FB767E" w:rsidRDefault="00881C9C" w:rsidP="0035497A">
      <w:r>
        <w:t>A report from The Ramblers details the physical and mental health benefits of walking</w:t>
      </w:r>
      <w:r>
        <w:rPr>
          <w:rStyle w:val="FootnoteReference"/>
        </w:rPr>
        <w:footnoteReference w:id="5"/>
      </w:r>
      <w:r>
        <w:t xml:space="preserve">. </w:t>
      </w:r>
      <w:r w:rsidR="000B21BC">
        <w:t xml:space="preserve"> </w:t>
      </w:r>
      <w:r>
        <w:t>The costs to the NHS</w:t>
      </w:r>
      <w:r w:rsidR="009A0B78">
        <w:t xml:space="preserve"> in England</w:t>
      </w:r>
      <w:r>
        <w:t xml:space="preserve"> of physical inactivity are estimated to be</w:t>
      </w:r>
      <w:r w:rsidR="0085714E">
        <w:t xml:space="preserve"> between</w:t>
      </w:r>
      <w:r>
        <w:t xml:space="preserve"> </w:t>
      </w:r>
      <w:r w:rsidR="009A0B78">
        <w:t xml:space="preserve">£1 billion and £1.8 billion a year. </w:t>
      </w:r>
      <w:r w:rsidR="000B21BC">
        <w:t xml:space="preserve"> </w:t>
      </w:r>
      <w:r w:rsidR="009A0B78">
        <w:t>Assuming costs of £1.4 billion and looking at the proportion of those in England that do not meet physical activity recommendations (a massive 66%), the avoided cost to the NHS can be considered to be £48 per year.</w:t>
      </w:r>
      <w:r w:rsidR="000B21BC">
        <w:t xml:space="preserve"> </w:t>
      </w:r>
      <w:r w:rsidR="0085714E">
        <w:t xml:space="preserve"> </w:t>
      </w:r>
      <w:r w:rsidR="00290CDA">
        <w:t>Whilst this is negligible over a year, the costs over a lifetime are significant and therefore the role eco</w:t>
      </w:r>
      <w:r w:rsidR="00065BED">
        <w:t>-</w:t>
      </w:r>
      <w:r w:rsidR="00290CDA">
        <w:t>therapy plays in encouraging healthy lifestyles should be</w:t>
      </w:r>
      <w:r w:rsidR="00FB767E">
        <w:t xml:space="preserve"> taken into account when considering benefits to the State</w:t>
      </w:r>
      <w:r w:rsidR="00290CDA">
        <w:t xml:space="preserve">. </w:t>
      </w:r>
    </w:p>
    <w:p w:rsidR="009C578D" w:rsidRDefault="00EF0E6D" w:rsidP="00EF0E6D">
      <w:pPr>
        <w:rPr>
          <w:b/>
        </w:rPr>
      </w:pPr>
      <w:r>
        <w:rPr>
          <w:b/>
        </w:rPr>
        <w:t>Attribution – to what extent can</w:t>
      </w:r>
      <w:r w:rsidR="000B21BC">
        <w:rPr>
          <w:b/>
        </w:rPr>
        <w:t xml:space="preserve"> the farm visit</w:t>
      </w:r>
      <w:r>
        <w:rPr>
          <w:b/>
        </w:rPr>
        <w:t>s take credit for these outcomes?</w:t>
      </w:r>
    </w:p>
    <w:p w:rsidR="00EF0E6D" w:rsidRPr="009C578D" w:rsidRDefault="00EF0E6D" w:rsidP="00EF0E6D">
      <w:pPr>
        <w:rPr>
          <w:b/>
        </w:rPr>
      </w:pPr>
      <w:r>
        <w:t>Attribution is an assessment of how much the outcome was caused by the contribution of other organisations or people.</w:t>
      </w:r>
      <w:r w:rsidR="000B21BC">
        <w:t xml:space="preserve"> </w:t>
      </w:r>
      <w:r>
        <w:t xml:space="preserve"> Attribution is calculated as the proportion of the outcome that is attributable to the intervention (in this case the MIND support group’s farm visits).</w:t>
      </w:r>
    </w:p>
    <w:p w:rsidR="00EF0E6D" w:rsidRDefault="00EF0E6D" w:rsidP="00EF0E6D">
      <w:r>
        <w:lastRenderedPageBreak/>
        <w:t xml:space="preserve">There is insufficient evidence to accurately estimate the extent to which we can attribute some </w:t>
      </w:r>
      <w:r w:rsidR="000B21BC">
        <w:t xml:space="preserve">of </w:t>
      </w:r>
      <w:r>
        <w:t xml:space="preserve">the above cost savings to the MIND support group’s farm visits. </w:t>
      </w:r>
      <w:r w:rsidR="000B21BC">
        <w:t xml:space="preserve"> </w:t>
      </w:r>
      <w:r>
        <w:t>However, individuals were asked the extent to which</w:t>
      </w:r>
      <w:r w:rsidR="00130F13">
        <w:t xml:space="preserve"> the farm visits could take credit for</w:t>
      </w:r>
      <w:r>
        <w:t xml:space="preserve"> changes in </w:t>
      </w:r>
      <w:r w:rsidR="000B21BC">
        <w:t>wellbeing (as measured using</w:t>
      </w:r>
      <w:r>
        <w:t xml:space="preserve"> ‘widget’ emoticon symbols</w:t>
      </w:r>
      <w:r w:rsidR="00130F13">
        <w:t>)</w:t>
      </w:r>
      <w:r>
        <w:t>.</w:t>
      </w:r>
      <w:r w:rsidR="000B21BC">
        <w:t xml:space="preserve"> </w:t>
      </w:r>
      <w:r>
        <w:t xml:space="preserve"> Whilst this relates to i</w:t>
      </w:r>
      <w:r w:rsidR="00130F13">
        <w:t>ndividual outcomes rather than economic outcomes for the state, it nevertheless provides a rough guide on whether it is correct for the intervention (i.e. the farm visits) to take credit for some of the economic benefits and avoided costs</w:t>
      </w:r>
      <w:r w:rsidR="00CF07F0">
        <w:rPr>
          <w:rStyle w:val="FootnoteReference"/>
        </w:rPr>
        <w:footnoteReference w:id="6"/>
      </w:r>
      <w:r w:rsidR="00130F13">
        <w:t xml:space="preserve">.   </w:t>
      </w:r>
    </w:p>
    <w:p w:rsidR="00EF0E6D" w:rsidRDefault="00D10B54" w:rsidP="00EF0E6D">
      <w:r>
        <w:t>When interviewed after the final farm visit, t</w:t>
      </w:r>
      <w:r w:rsidR="00130F13">
        <w:t xml:space="preserve">he group </w:t>
      </w:r>
      <w:r w:rsidR="00CF07F0">
        <w:t>record</w:t>
      </w:r>
      <w:r>
        <w:t>ed (on average)</w:t>
      </w:r>
      <w:r w:rsidR="00CF07F0">
        <w:t xml:space="preserve"> that the farm visits could take 70% </w:t>
      </w:r>
      <w:r>
        <w:t>of the credit for changes in how they felt.</w:t>
      </w:r>
      <w:r w:rsidR="00EF0E6D">
        <w:t xml:space="preserve"> </w:t>
      </w:r>
      <w:r w:rsidR="000B4CD0">
        <w:t xml:space="preserve"> </w:t>
      </w:r>
      <w:r>
        <w:t>T</w:t>
      </w:r>
      <w:r w:rsidR="00EF0E6D">
        <w:t>here is</w:t>
      </w:r>
      <w:r>
        <w:t xml:space="preserve"> therefore evidence to suggest that a reasonable</w:t>
      </w:r>
      <w:r w:rsidR="00EF0E6D">
        <w:t xml:space="preserve"> proportion of the </w:t>
      </w:r>
      <w:r>
        <w:t>economic benefits detailed in this case study</w:t>
      </w:r>
      <w:r w:rsidR="00EF0E6D">
        <w:t xml:space="preserve"> will have been obtained as a</w:t>
      </w:r>
      <w:r>
        <w:t xml:space="preserve"> direct</w:t>
      </w:r>
      <w:r w:rsidR="00EF0E6D">
        <w:t xml:space="preserve"> result of attending the </w:t>
      </w:r>
      <w:r>
        <w:t>MIND support group farm visits</w:t>
      </w:r>
      <w:r w:rsidR="00EF0E6D">
        <w:t xml:space="preserve">.    </w:t>
      </w:r>
    </w:p>
    <w:p w:rsidR="001E174A" w:rsidRPr="00493A78" w:rsidRDefault="001E174A" w:rsidP="0035497A">
      <w:r>
        <w:rPr>
          <w:b/>
        </w:rPr>
        <w:t>Summary</w:t>
      </w:r>
    </w:p>
    <w:p w:rsidR="00447778" w:rsidRDefault="00447778" w:rsidP="0035497A">
      <w:r>
        <w:t>Table 1 summarises the economic benefits to the state from the im</w:t>
      </w:r>
      <w:r w:rsidR="00C51FB0">
        <w:t>provements (or stabilisation) Mick</w:t>
      </w:r>
      <w:r>
        <w:t xml:space="preserve"> has experience</w:t>
      </w:r>
      <w:r w:rsidR="00375BFB">
        <w:t>d</w:t>
      </w:r>
      <w:r>
        <w:t xml:space="preserve">. </w:t>
      </w:r>
      <w:r w:rsidR="00C51FB0">
        <w:t xml:space="preserve"> </w:t>
      </w:r>
    </w:p>
    <w:p w:rsidR="00447778" w:rsidRPr="00375BFB" w:rsidRDefault="00447778" w:rsidP="0035497A">
      <w:pPr>
        <w:rPr>
          <w:i/>
        </w:rPr>
      </w:pPr>
      <w:r w:rsidRPr="00375BFB">
        <w:rPr>
          <w:i/>
        </w:rPr>
        <w:t xml:space="preserve">Table 1: Economic benefits of </w:t>
      </w:r>
      <w:r w:rsidR="000B21BC">
        <w:rPr>
          <w:i/>
        </w:rPr>
        <w:t>Mick’s</w:t>
      </w:r>
      <w:r w:rsidRPr="00375BFB">
        <w:rPr>
          <w:i/>
        </w:rPr>
        <w:t xml:space="preserve"> involvement in the MIND support group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037F51" w:rsidTr="00037F51">
        <w:tc>
          <w:tcPr>
            <w:tcW w:w="7479" w:type="dxa"/>
          </w:tcPr>
          <w:p w:rsidR="00037F51" w:rsidRPr="001E174A" w:rsidRDefault="00037F51" w:rsidP="001E174A">
            <w:pPr>
              <w:rPr>
                <w:b/>
              </w:rPr>
            </w:pPr>
            <w:r w:rsidRPr="001E174A">
              <w:rPr>
                <w:b/>
              </w:rPr>
              <w:t>Economic Benefits</w:t>
            </w:r>
          </w:p>
        </w:tc>
        <w:tc>
          <w:tcPr>
            <w:tcW w:w="1701" w:type="dxa"/>
          </w:tcPr>
          <w:p w:rsidR="00037F51" w:rsidRPr="001E174A" w:rsidRDefault="00037F51" w:rsidP="00037F51">
            <w:pPr>
              <w:jc w:val="right"/>
              <w:rPr>
                <w:b/>
              </w:rPr>
            </w:pPr>
            <w:r w:rsidRPr="001E174A">
              <w:rPr>
                <w:b/>
              </w:rPr>
              <w:t>Value (£)</w:t>
            </w:r>
          </w:p>
        </w:tc>
      </w:tr>
      <w:tr w:rsidR="00037F51" w:rsidTr="00037F51">
        <w:tc>
          <w:tcPr>
            <w:tcW w:w="7479" w:type="dxa"/>
          </w:tcPr>
          <w:p w:rsidR="00037F51" w:rsidRDefault="00037F51" w:rsidP="001E174A">
            <w:r>
              <w:t>Avoided prescription costs</w:t>
            </w:r>
          </w:p>
        </w:tc>
        <w:tc>
          <w:tcPr>
            <w:tcW w:w="1701" w:type="dxa"/>
          </w:tcPr>
          <w:p w:rsidR="00037F51" w:rsidRDefault="00037F51" w:rsidP="001E174A">
            <w:pPr>
              <w:jc w:val="right"/>
            </w:pPr>
            <w:r>
              <w:t>£765.32</w:t>
            </w:r>
          </w:p>
        </w:tc>
      </w:tr>
      <w:tr w:rsidR="00037F51" w:rsidTr="00037F51">
        <w:tc>
          <w:tcPr>
            <w:tcW w:w="7479" w:type="dxa"/>
          </w:tcPr>
          <w:p w:rsidR="00037F51" w:rsidRDefault="00037F51" w:rsidP="001E174A">
            <w:r>
              <w:t>Avoided medical consultation costs</w:t>
            </w:r>
          </w:p>
        </w:tc>
        <w:tc>
          <w:tcPr>
            <w:tcW w:w="1701" w:type="dxa"/>
          </w:tcPr>
          <w:p w:rsidR="00037F51" w:rsidRDefault="00037F51" w:rsidP="001E174A">
            <w:pPr>
              <w:jc w:val="right"/>
            </w:pPr>
            <w:r>
              <w:t>£483.36</w:t>
            </w:r>
          </w:p>
        </w:tc>
      </w:tr>
      <w:tr w:rsidR="00037F51" w:rsidTr="00037F51">
        <w:tc>
          <w:tcPr>
            <w:tcW w:w="7479" w:type="dxa"/>
          </w:tcPr>
          <w:p w:rsidR="00037F51" w:rsidRDefault="00037F51" w:rsidP="001E174A">
            <w:r>
              <w:t>Avoided use of community psychiatric nurse services</w:t>
            </w:r>
          </w:p>
        </w:tc>
        <w:tc>
          <w:tcPr>
            <w:tcW w:w="1701" w:type="dxa"/>
          </w:tcPr>
          <w:p w:rsidR="00037F51" w:rsidRDefault="00037F51" w:rsidP="001E174A">
            <w:pPr>
              <w:jc w:val="right"/>
            </w:pPr>
            <w:r w:rsidRPr="00F36222">
              <w:t>£1,742</w:t>
            </w:r>
            <w:r>
              <w:t>.00</w:t>
            </w:r>
          </w:p>
        </w:tc>
      </w:tr>
      <w:tr w:rsidR="00037F51" w:rsidTr="00037F51">
        <w:tc>
          <w:tcPr>
            <w:tcW w:w="7479" w:type="dxa"/>
          </w:tcPr>
          <w:p w:rsidR="00037F51" w:rsidRDefault="00037F51" w:rsidP="001E174A">
            <w:r>
              <w:t>A</w:t>
            </w:r>
            <w:r w:rsidRPr="0035497A">
              <w:t>voided costs</w:t>
            </w:r>
            <w:r>
              <w:t xml:space="preserve"> to the NHS</w:t>
            </w:r>
            <w:r w:rsidRPr="0035497A">
              <w:t xml:space="preserve"> of physical inactivity</w:t>
            </w:r>
          </w:p>
        </w:tc>
        <w:tc>
          <w:tcPr>
            <w:tcW w:w="1701" w:type="dxa"/>
          </w:tcPr>
          <w:p w:rsidR="00037F51" w:rsidRDefault="00037F51" w:rsidP="001E174A">
            <w:pPr>
              <w:jc w:val="right"/>
            </w:pPr>
            <w:r>
              <w:t>£48.00</w:t>
            </w:r>
          </w:p>
        </w:tc>
      </w:tr>
      <w:tr w:rsidR="00037F51" w:rsidTr="00037F51">
        <w:tc>
          <w:tcPr>
            <w:tcW w:w="7479" w:type="dxa"/>
          </w:tcPr>
          <w:p w:rsidR="00037F51" w:rsidRPr="003C2B3A" w:rsidRDefault="00037F51" w:rsidP="001E174A">
            <w:pPr>
              <w:rPr>
                <w:b/>
              </w:rPr>
            </w:pPr>
            <w:r w:rsidRPr="003C2B3A">
              <w:rPr>
                <w:b/>
              </w:rPr>
              <w:t>Total</w:t>
            </w:r>
          </w:p>
        </w:tc>
        <w:tc>
          <w:tcPr>
            <w:tcW w:w="1701" w:type="dxa"/>
          </w:tcPr>
          <w:p w:rsidR="00037F51" w:rsidRPr="00040BA8" w:rsidRDefault="00037F51" w:rsidP="001E174A">
            <w:pPr>
              <w:jc w:val="right"/>
              <w:rPr>
                <w:b/>
              </w:rPr>
            </w:pPr>
            <w:r w:rsidRPr="00040BA8">
              <w:rPr>
                <w:b/>
              </w:rPr>
              <w:t>£3038.68</w:t>
            </w:r>
          </w:p>
        </w:tc>
      </w:tr>
    </w:tbl>
    <w:p w:rsidR="00C51FB0" w:rsidRDefault="00C51FB0" w:rsidP="0035497A"/>
    <w:p w:rsidR="00DF6DB6" w:rsidRDefault="00375BFB" w:rsidP="0035497A">
      <w:r>
        <w:t>The cashable economic benefits attributable to the MIND support group are estimated to be £</w:t>
      </w:r>
      <w:r w:rsidR="00037F51">
        <w:t>3038.68</w:t>
      </w:r>
      <w:r>
        <w:t xml:space="preserve"> per year. </w:t>
      </w:r>
      <w:r w:rsidR="000B21BC">
        <w:t xml:space="preserve"> </w:t>
      </w:r>
      <w:r w:rsidR="00054CD8">
        <w:t xml:space="preserve">The vast majority </w:t>
      </w:r>
      <w:r w:rsidR="00DF6DB6">
        <w:t xml:space="preserve">of this is as a result of improved or stabilised </w:t>
      </w:r>
      <w:r w:rsidR="00054CD8">
        <w:t xml:space="preserve">personal </w:t>
      </w:r>
      <w:r w:rsidR="00DF6DB6">
        <w:t>wellbeing and the reduction in interaction with state services a result of this.</w:t>
      </w:r>
      <w:r w:rsidR="00054CD8">
        <w:t xml:space="preserve"> </w:t>
      </w:r>
      <w:r w:rsidR="00DF6DB6">
        <w:t xml:space="preserve"> The estimate</w:t>
      </w:r>
      <w:r w:rsidR="005C4434">
        <w:t>s</w:t>
      </w:r>
      <w:r w:rsidR="000B21BC">
        <w:t xml:space="preserve"> </w:t>
      </w:r>
      <w:r w:rsidR="005C4434">
        <w:t>are also</w:t>
      </w:r>
      <w:r w:rsidR="00DF6DB6">
        <w:t xml:space="preserve"> likely to be conservative,</w:t>
      </w:r>
      <w:r w:rsidR="000B4CD0">
        <w:t xml:space="preserve"> as</w:t>
      </w:r>
      <w:r w:rsidR="00DF6DB6">
        <w:t xml:space="preserve"> reductions in other more specialist NHS services may have occurred.</w:t>
      </w:r>
      <w:r w:rsidR="000B4CD0">
        <w:t xml:space="preserve"> </w:t>
      </w:r>
      <w:r w:rsidR="005C4434">
        <w:t xml:space="preserve"> It is also worth noting that there was insufficient information to make a sensible judgement on outcomes associated with state benefits or changes in Mick’s employment situation. </w:t>
      </w:r>
      <w:r w:rsidR="000B4CD0">
        <w:t xml:space="preserve"> </w:t>
      </w:r>
      <w:r w:rsidR="005C4434">
        <w:t xml:space="preserve">It is likely that, particularly in the longer term, the farm visits will have contributed to such benefits and/or avoided costs.    </w:t>
      </w:r>
      <w:r w:rsidR="00DF6DB6">
        <w:t xml:space="preserve"> </w:t>
      </w:r>
    </w:p>
    <w:p w:rsidR="00DF6DB6" w:rsidRDefault="005C4434" w:rsidP="0035497A">
      <w:r>
        <w:t>Finally</w:t>
      </w:r>
      <w:r w:rsidR="00DF6DB6">
        <w:t>,</w:t>
      </w:r>
      <w:r>
        <w:t xml:space="preserve"> it is also worth noting that</w:t>
      </w:r>
      <w:r w:rsidR="00DF6DB6">
        <w:t xml:space="preserve"> the longer term impact of the group has not been </w:t>
      </w:r>
      <w:r w:rsidR="00123A86">
        <w:t>estimated</w:t>
      </w:r>
      <w:r w:rsidR="00EF0E6D">
        <w:t xml:space="preserve"> (due to the natural limitations of the data available)</w:t>
      </w:r>
      <w:r w:rsidR="00123A86">
        <w:t>;</w:t>
      </w:r>
      <w:r w:rsidR="00DF6DB6">
        <w:t xml:space="preserve"> costs savings are only presented over the period of one year. </w:t>
      </w:r>
      <w:r w:rsidR="009C578D">
        <w:t xml:space="preserve"> </w:t>
      </w:r>
      <w:r w:rsidR="00DF6DB6">
        <w:t>However,</w:t>
      </w:r>
      <w:r w:rsidR="0005517A">
        <w:t xml:space="preserve"> </w:t>
      </w:r>
      <w:r w:rsidR="00EF0E6D">
        <w:t>it is clear</w:t>
      </w:r>
      <w:r w:rsidR="00DF6DB6">
        <w:t xml:space="preserve"> some of these savings are likely to continue for several years, in particular </w:t>
      </w:r>
      <w:r w:rsidR="00825225">
        <w:t xml:space="preserve">those related </w:t>
      </w:r>
      <w:r w:rsidR="0099474E">
        <w:t xml:space="preserve">to </w:t>
      </w:r>
      <w:r w:rsidR="00825225">
        <w:t>physical inactivity.</w:t>
      </w:r>
      <w:r w:rsidR="00C51FB0">
        <w:t xml:space="preserve"> </w:t>
      </w:r>
      <w:r w:rsidR="009C578D">
        <w:t xml:space="preserve"> </w:t>
      </w:r>
      <w:bookmarkStart w:id="0" w:name="_GoBack"/>
      <w:bookmarkEnd w:id="0"/>
      <w:r w:rsidR="00123A86">
        <w:t>The above estimates can</w:t>
      </w:r>
      <w:r w:rsidR="00037F51">
        <w:t xml:space="preserve"> therefore</w:t>
      </w:r>
      <w:r w:rsidR="00123A86">
        <w:t xml:space="preserve"> be considered an underestimation of the true value of the programme</w:t>
      </w:r>
      <w:r w:rsidR="00C51FB0">
        <w:t xml:space="preserve"> of farm visits</w:t>
      </w:r>
      <w:r w:rsidR="00EF0E6D">
        <w:t>.</w:t>
      </w:r>
      <w:r w:rsidR="009C578D">
        <w:t xml:space="preserve"> </w:t>
      </w:r>
      <w:r w:rsidR="00EF0E6D">
        <w:t xml:space="preserve"> Nevertheless, the figures clearly highlight that, in addition to enhancing individuals lives, there are clear economic benefits of farm and wildlife visits offered by the ‘Let Nature Feed Your Senses’ pro</w:t>
      </w:r>
      <w:r w:rsidR="000B4CD0">
        <w:t>ject</w:t>
      </w:r>
      <w:r w:rsidR="00123A86">
        <w:t xml:space="preserve">. </w:t>
      </w:r>
      <w:r w:rsidR="00825225">
        <w:t xml:space="preserve">  </w:t>
      </w:r>
      <w:r w:rsidR="00DF6DB6">
        <w:t xml:space="preserve">   </w:t>
      </w:r>
    </w:p>
    <w:p w:rsidR="003B5A8C" w:rsidRDefault="003B5A8C" w:rsidP="0035497A"/>
    <w:p w:rsidR="00385797" w:rsidRDefault="00385797" w:rsidP="003B5A8C">
      <w:pPr>
        <w:jc w:val="center"/>
      </w:pPr>
    </w:p>
    <w:sectPr w:rsidR="00385797" w:rsidSect="009C57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02" w:rsidRDefault="00007702" w:rsidP="00184CB0">
      <w:pPr>
        <w:spacing w:after="0" w:line="240" w:lineRule="auto"/>
      </w:pPr>
      <w:r>
        <w:separator/>
      </w:r>
    </w:p>
  </w:endnote>
  <w:endnote w:type="continuationSeparator" w:id="0">
    <w:p w:rsidR="00007702" w:rsidRDefault="00007702" w:rsidP="001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B0" w:rsidRDefault="00C51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B0" w:rsidRDefault="009C578D" w:rsidP="00C51FB0">
    <w:pPr>
      <w:pStyle w:val="Footer"/>
      <w:jc w:val="center"/>
    </w:pPr>
    <w:hyperlink r:id="rId1" w:history="1">
      <w:r w:rsidR="00C51FB0" w:rsidRPr="004D70DF">
        <w:rPr>
          <w:rStyle w:val="Hyperlink"/>
        </w:rPr>
        <w:t>www.letnaturefeedyoursenses.org</w:t>
      </w:r>
    </w:hyperlink>
  </w:p>
  <w:p w:rsidR="00C51FB0" w:rsidRDefault="00C51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B0" w:rsidRDefault="00C51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02" w:rsidRDefault="00007702" w:rsidP="00184CB0">
      <w:pPr>
        <w:spacing w:after="0" w:line="240" w:lineRule="auto"/>
      </w:pPr>
      <w:r>
        <w:separator/>
      </w:r>
    </w:p>
  </w:footnote>
  <w:footnote w:type="continuationSeparator" w:id="0">
    <w:p w:rsidR="00007702" w:rsidRDefault="00007702" w:rsidP="00184CB0">
      <w:pPr>
        <w:spacing w:after="0" w:line="240" w:lineRule="auto"/>
      </w:pPr>
      <w:r>
        <w:continuationSeparator/>
      </w:r>
    </w:p>
  </w:footnote>
  <w:footnote w:id="1">
    <w:p w:rsidR="00C02ED0" w:rsidRDefault="00C02E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ED0">
        <w:t>New Economic Foundation (2002), "Wellbeing evidence for policy: A review"</w:t>
      </w:r>
    </w:p>
  </w:footnote>
  <w:footnote w:id="2">
    <w:p w:rsidR="00E27975" w:rsidRDefault="00E279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7975">
        <w:t>New Economic Foundation (2002), "National Accounts of Well-being: bringing real wealth onto the balance sheet"</w:t>
      </w:r>
    </w:p>
  </w:footnote>
  <w:footnote w:id="3">
    <w:p w:rsidR="00385797" w:rsidRDefault="00385797" w:rsidP="00385797">
      <w:pPr>
        <w:pStyle w:val="FootnoteText"/>
      </w:pPr>
      <w:r>
        <w:rPr>
          <w:rStyle w:val="FootnoteReference"/>
        </w:rPr>
        <w:footnoteRef/>
      </w:r>
      <w:r>
        <w:t xml:space="preserve"> The Centre for Economic Performance’s Mental Health Policy Group (2013), “How mental illness loses out in the NHS”, London School of Economics report</w:t>
      </w:r>
    </w:p>
  </w:footnote>
  <w:footnote w:id="4">
    <w:p w:rsidR="00E010AD" w:rsidRDefault="00E010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666C">
        <w:t>PSSRU (2012), “</w:t>
      </w:r>
      <w:r w:rsidR="004F666C" w:rsidRPr="004B13E3">
        <w:t>Unit Costs of Health and Social Care 2012</w:t>
      </w:r>
      <w:r w:rsidR="004F666C">
        <w:t xml:space="preserve">”, </w:t>
      </w:r>
      <w:r w:rsidR="004F666C" w:rsidRPr="004B13E3">
        <w:t>Personal Social Services Research Unit</w:t>
      </w:r>
      <w:r w:rsidR="004F666C">
        <w:t>, University of Kent</w:t>
      </w:r>
    </w:p>
  </w:footnote>
  <w:footnote w:id="5">
    <w:p w:rsidR="00881C9C" w:rsidRDefault="00881C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376B">
        <w:t>http://www.ramblers.org.uk/~/media/Files/What%20we%20do/factsandfigures-1-benefits-0510.pdf</w:t>
      </w:r>
    </w:p>
  </w:footnote>
  <w:footnote w:id="6">
    <w:p w:rsidR="00CF07F0" w:rsidRDefault="00CF07F0">
      <w:pPr>
        <w:pStyle w:val="FootnoteText"/>
      </w:pPr>
      <w:r>
        <w:rPr>
          <w:rStyle w:val="FootnoteReference"/>
        </w:rPr>
        <w:footnoteRef/>
      </w:r>
      <w:r>
        <w:t xml:space="preserve"> Attribution wellbeing outcomes may not be reflective of attribution economic outcomes (such as reduced service use). </w:t>
      </w:r>
      <w:r w:rsidR="009C578D">
        <w:t xml:space="preserve"> </w:t>
      </w:r>
      <w:r>
        <w:t xml:space="preserve">An individual may experience significant improvements in wellbeing from an intervention but not necessarily reduce their use of state services. </w:t>
      </w:r>
      <w:r w:rsidR="009C578D">
        <w:t xml:space="preserve"> </w:t>
      </w:r>
      <w:r>
        <w:t>However, when the latter is not known the former can provide a rough indicator on whether an intervention can take</w:t>
      </w:r>
      <w:r w:rsidR="00D10B54">
        <w:t xml:space="preserve"> any</w:t>
      </w:r>
      <w:r>
        <w:t xml:space="preserve"> credit for other outcomes.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B0" w:rsidRDefault="00C51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B0" w:rsidRDefault="00C51F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B0" w:rsidRDefault="00C51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A85"/>
    <w:multiLevelType w:val="hybridMultilevel"/>
    <w:tmpl w:val="663E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0A"/>
    <w:rsid w:val="00007702"/>
    <w:rsid w:val="000206FC"/>
    <w:rsid w:val="00023D8D"/>
    <w:rsid w:val="00037F51"/>
    <w:rsid w:val="00040BA8"/>
    <w:rsid w:val="00053D5E"/>
    <w:rsid w:val="00054CD8"/>
    <w:rsid w:val="0005517A"/>
    <w:rsid w:val="00057905"/>
    <w:rsid w:val="00065BED"/>
    <w:rsid w:val="000B21BC"/>
    <w:rsid w:val="000B4CD0"/>
    <w:rsid w:val="000C2881"/>
    <w:rsid w:val="000D26DF"/>
    <w:rsid w:val="000D3FC7"/>
    <w:rsid w:val="00123A86"/>
    <w:rsid w:val="00130F13"/>
    <w:rsid w:val="001752DB"/>
    <w:rsid w:val="00184CB0"/>
    <w:rsid w:val="001944D4"/>
    <w:rsid w:val="001A2BC2"/>
    <w:rsid w:val="001B5D80"/>
    <w:rsid w:val="001D405E"/>
    <w:rsid w:val="001E174A"/>
    <w:rsid w:val="00200384"/>
    <w:rsid w:val="00262EA1"/>
    <w:rsid w:val="002835FF"/>
    <w:rsid w:val="00290CDA"/>
    <w:rsid w:val="002A6C1D"/>
    <w:rsid w:val="002E7342"/>
    <w:rsid w:val="00310F08"/>
    <w:rsid w:val="00327098"/>
    <w:rsid w:val="00332159"/>
    <w:rsid w:val="0033376B"/>
    <w:rsid w:val="003453F8"/>
    <w:rsid w:val="0035497A"/>
    <w:rsid w:val="00375BFB"/>
    <w:rsid w:val="00385797"/>
    <w:rsid w:val="00391431"/>
    <w:rsid w:val="0039146E"/>
    <w:rsid w:val="003953BA"/>
    <w:rsid w:val="003B5A8C"/>
    <w:rsid w:val="003C2B3A"/>
    <w:rsid w:val="003F1CAE"/>
    <w:rsid w:val="00410C0A"/>
    <w:rsid w:val="00447778"/>
    <w:rsid w:val="00493A78"/>
    <w:rsid w:val="004A7CE1"/>
    <w:rsid w:val="004D55BE"/>
    <w:rsid w:val="004E798B"/>
    <w:rsid w:val="004F666C"/>
    <w:rsid w:val="004F75A2"/>
    <w:rsid w:val="0051269B"/>
    <w:rsid w:val="005235DB"/>
    <w:rsid w:val="005C4187"/>
    <w:rsid w:val="005C4434"/>
    <w:rsid w:val="00620D9B"/>
    <w:rsid w:val="00630E53"/>
    <w:rsid w:val="00631338"/>
    <w:rsid w:val="00650A92"/>
    <w:rsid w:val="00687741"/>
    <w:rsid w:val="006B0CF2"/>
    <w:rsid w:val="006E7CCF"/>
    <w:rsid w:val="00700FF7"/>
    <w:rsid w:val="00717DC7"/>
    <w:rsid w:val="00731D2C"/>
    <w:rsid w:val="007806DF"/>
    <w:rsid w:val="0078130C"/>
    <w:rsid w:val="007E3176"/>
    <w:rsid w:val="007F3F85"/>
    <w:rsid w:val="00822725"/>
    <w:rsid w:val="00825225"/>
    <w:rsid w:val="0085714E"/>
    <w:rsid w:val="00881C9C"/>
    <w:rsid w:val="00897E5D"/>
    <w:rsid w:val="008A685B"/>
    <w:rsid w:val="008B4F07"/>
    <w:rsid w:val="008C1475"/>
    <w:rsid w:val="008D28D7"/>
    <w:rsid w:val="008D59ED"/>
    <w:rsid w:val="008D63EF"/>
    <w:rsid w:val="008E2FD3"/>
    <w:rsid w:val="008F2F02"/>
    <w:rsid w:val="009378F6"/>
    <w:rsid w:val="0098625B"/>
    <w:rsid w:val="00990420"/>
    <w:rsid w:val="0099474E"/>
    <w:rsid w:val="009A0B78"/>
    <w:rsid w:val="009B2347"/>
    <w:rsid w:val="009C578D"/>
    <w:rsid w:val="009C7B5E"/>
    <w:rsid w:val="00A177CA"/>
    <w:rsid w:val="00AA1FC2"/>
    <w:rsid w:val="00AA4F5C"/>
    <w:rsid w:val="00AC382E"/>
    <w:rsid w:val="00B12F01"/>
    <w:rsid w:val="00B928AD"/>
    <w:rsid w:val="00BA570A"/>
    <w:rsid w:val="00BC3DBC"/>
    <w:rsid w:val="00BE5AE4"/>
    <w:rsid w:val="00C02ED0"/>
    <w:rsid w:val="00C51FB0"/>
    <w:rsid w:val="00C750AA"/>
    <w:rsid w:val="00C77D02"/>
    <w:rsid w:val="00C977CD"/>
    <w:rsid w:val="00CB278A"/>
    <w:rsid w:val="00CF07F0"/>
    <w:rsid w:val="00D10B54"/>
    <w:rsid w:val="00D11385"/>
    <w:rsid w:val="00D3484A"/>
    <w:rsid w:val="00D641B9"/>
    <w:rsid w:val="00DF6DB6"/>
    <w:rsid w:val="00E010AD"/>
    <w:rsid w:val="00E27975"/>
    <w:rsid w:val="00EA0AF9"/>
    <w:rsid w:val="00EB3247"/>
    <w:rsid w:val="00EB59F2"/>
    <w:rsid w:val="00EC1957"/>
    <w:rsid w:val="00EC3E49"/>
    <w:rsid w:val="00EC6653"/>
    <w:rsid w:val="00EF0E6D"/>
    <w:rsid w:val="00EF26A4"/>
    <w:rsid w:val="00F13641"/>
    <w:rsid w:val="00F36222"/>
    <w:rsid w:val="00FB26F8"/>
    <w:rsid w:val="00FB767E"/>
    <w:rsid w:val="00FC0588"/>
    <w:rsid w:val="00FD4DDD"/>
    <w:rsid w:val="00FE5634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3E4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C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C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C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1C9C"/>
    <w:rPr>
      <w:color w:val="0000FF"/>
      <w:u w:val="single"/>
    </w:rPr>
  </w:style>
  <w:style w:type="table" w:styleId="TableGrid">
    <w:name w:val="Table Grid"/>
    <w:basedOn w:val="TableNormal"/>
    <w:uiPriority w:val="59"/>
    <w:rsid w:val="001E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B0"/>
  </w:style>
  <w:style w:type="paragraph" w:styleId="Footer">
    <w:name w:val="footer"/>
    <w:basedOn w:val="Normal"/>
    <w:link w:val="FooterChar"/>
    <w:uiPriority w:val="99"/>
    <w:unhideWhenUsed/>
    <w:rsid w:val="00C5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B0"/>
  </w:style>
  <w:style w:type="character" w:styleId="CommentReference">
    <w:name w:val="annotation reference"/>
    <w:basedOn w:val="DefaultParagraphFont"/>
    <w:uiPriority w:val="99"/>
    <w:semiHidden/>
    <w:unhideWhenUsed/>
    <w:rsid w:val="002A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1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07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07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07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3E4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C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C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C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1C9C"/>
    <w:rPr>
      <w:color w:val="0000FF"/>
      <w:u w:val="single"/>
    </w:rPr>
  </w:style>
  <w:style w:type="table" w:styleId="TableGrid">
    <w:name w:val="Table Grid"/>
    <w:basedOn w:val="TableNormal"/>
    <w:uiPriority w:val="59"/>
    <w:rsid w:val="001E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B0"/>
  </w:style>
  <w:style w:type="paragraph" w:styleId="Footer">
    <w:name w:val="footer"/>
    <w:basedOn w:val="Normal"/>
    <w:link w:val="FooterChar"/>
    <w:uiPriority w:val="99"/>
    <w:unhideWhenUsed/>
    <w:rsid w:val="00C5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B0"/>
  </w:style>
  <w:style w:type="character" w:styleId="CommentReference">
    <w:name w:val="annotation reference"/>
    <w:basedOn w:val="DefaultParagraphFont"/>
    <w:uiPriority w:val="99"/>
    <w:semiHidden/>
    <w:unhideWhenUsed/>
    <w:rsid w:val="002A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1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07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07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0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naturefeedyoursen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2659-6DF9-41D4-A19F-998269E1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1508</Words>
  <Characters>8596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Gardner</dc:creator>
  <cp:lastModifiedBy>James Taylor</cp:lastModifiedBy>
  <cp:revision>2</cp:revision>
  <cp:lastPrinted>2013-11-19T11:10:00Z</cp:lastPrinted>
  <dcterms:created xsi:type="dcterms:W3CDTF">2013-11-19T15:09:00Z</dcterms:created>
  <dcterms:modified xsi:type="dcterms:W3CDTF">2013-11-19T15:09:00Z</dcterms:modified>
</cp:coreProperties>
</file>